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spacing w:after="0" w:line="240" w:lineRule="auto"/>
        <w:ind w:right="-90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Membership</w:t>
      </w: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 Committee Meeting</w:t>
      </w:r>
    </w:p>
    <w:p w:rsidR="00000000" w:rsidDel="00000000" w:rsidP="00000000" w:rsidRDefault="00000000" w:rsidRPr="00000000" w14:paraId="00000002">
      <w:pPr>
        <w:tabs>
          <w:tab w:val="left" w:pos="720"/>
        </w:tabs>
        <w:spacing w:after="0" w:line="240" w:lineRule="auto"/>
        <w:ind w:right="-90"/>
        <w:rPr>
          <w:color w:val="000000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November 16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2022 1</w:t>
      </w: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:00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</w:t>
      </w:r>
      <w:r w:rsidDel="00000000" w:rsidR="00000000" w:rsidRPr="00000000">
        <w:rPr>
          <w:b w:val="1"/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Via </w:t>
      </w:r>
      <w:r w:rsidDel="00000000" w:rsidR="00000000" w:rsidRPr="00000000">
        <w:rPr>
          <w:sz w:val="24"/>
          <w:szCs w:val="24"/>
          <w:rtl w:val="0"/>
        </w:rPr>
        <w:t xml:space="preserve">Zoom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Linked here.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spacing w:after="0" w:line="240" w:lineRule="auto"/>
        <w:ind w:left="0" w:right="-90" w:firstLine="0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720"/>
        </w:tabs>
        <w:spacing w:after="0" w:line="240" w:lineRule="auto"/>
        <w:ind w:right="-90"/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Present: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B. Ahfeld, R. Aiken, A. Gold, M. Remington, M. Silver, C. Wilt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Absent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B. Dixon, M. Doyle, C. Steria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Review Tactics from Strategic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Establish committee ☑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 new sectors list has been established. That will be an ongoing process. ☑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Defining an outreach plan is the next course of action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Measures Discussion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The committee needs to determine the most appropriate goals: number of new members, percent increase in membership, additional revenue dollars, percent rise in revenue?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The committee should also keep in mind that another objective for the committee is “member engagement” which is less likely to offer a clear metric, but which will also help meet those measurable goals by ensuring that the organization remains relevant to members</w:t>
        <w:tab/>
        <w:t xml:space="preserve">. It was noted that partnering with the Communications Committee addresses this.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Additional Member Targets/Sectors and Thoughts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Previous Loan Recipients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(Also consider those members sharing their stories either through virtual or in-person format, as has previously been done)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Lapsed members; really dive into those orgs and determine what changes prompted them to lapse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Education; the rest of the colleges, plus community colleges, IAM, …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The original SLC Economic Development Board list from Tricia (Aviva will ask for that)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Leverage our connections in thoughtful ways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Consider avoiding polarizing political personalities and leverage those KINDS of connections as committee guests. Garry Douglas for example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Outreach Plan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Rob will gather all of these lists, including current member list, lapsed members, loan recipients, sectors list, People of Interest list, and whatever else we throw at  him into a mini-CRM/spreadsheet that the committee will use to make outreach assignments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Adjournment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10:30 am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December 20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202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Zoom</w:t>
      </w:r>
    </w:p>
    <w:sectPr>
      <w:headerReference r:id="rId8" w:type="default"/>
      <w:footerReference r:id="rId9" w:type="default"/>
      <w:pgSz w:h="15840" w:w="12240" w:orient="portrait"/>
      <w:pgMar w:bottom="720" w:top="2304" w:left="108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4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-471487</wp:posOffset>
          </wp:positionH>
          <wp:positionV relativeFrom="paragraph">
            <wp:posOffset>-266699</wp:posOffset>
          </wp:positionV>
          <wp:extent cx="7282542" cy="1132840"/>
          <wp:effectExtent b="0" l="0" r="0" t="0"/>
          <wp:wrapSquare wrapText="bothSides" distB="0" distT="0" distL="114300" distR="114300"/>
          <wp:docPr id="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02web.zoom.us/j/85884237721?pwd=eFJ0RktWOFZ1T2R5Z1oyVUgrc0wxdz09#success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ss2te0Trsj4XNPbDQG2mO4G8og==">AMUW2mUzMQNLobbIggWmVYdszcaPAqURKJ8YuuQelxa9CiVw7z3hntdYxOrUNF5MBWZZnTaW8HZwHpJHjoRE0xHFcwVWecR8+sZkot1iONbWDoPaVeSGPBTLWNIs9oI9L4wyMLUO1vVJ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